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A6EDB" w:rsidRDefault="008A6EDB">
      <w:pPr>
        <w:rPr>
          <w:b/>
          <w:sz w:val="32"/>
          <w:szCs w:val="32"/>
        </w:rPr>
      </w:pPr>
      <w:r w:rsidRPr="008A6EDB">
        <w:rPr>
          <w:rFonts w:ascii="Times New Roman" w:hAnsi="Times New Roman" w:cs="Times New Roman"/>
          <w:b/>
          <w:color w:val="000000"/>
          <w:sz w:val="32"/>
          <w:szCs w:val="32"/>
        </w:rPr>
        <w:t>Общее понятие темперамента. Из истории учений о темпераменте</w:t>
      </w:r>
    </w:p>
    <w:p w:rsidR="008A6EDB" w:rsidRDefault="008A6EDB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Рогов Е. И. Азбука психологии. «Психология общения», ВЛАДОС. М.; 2006г.</w:t>
      </w:r>
    </w:p>
    <w:sectPr w:rsidR="008A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A6EDB"/>
    <w:rsid w:val="008A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2020-10-06T10:49:00Z</dcterms:created>
  <dcterms:modified xsi:type="dcterms:W3CDTF">2020-10-06T10:50:00Z</dcterms:modified>
</cp:coreProperties>
</file>